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432AAD" w:rsidTr="0005246B">
        <w:trPr>
          <w:tblCellSpacing w:w="15" w:type="dxa"/>
        </w:trPr>
        <w:tc>
          <w:tcPr>
            <w:tcW w:w="1000" w:type="pct"/>
          </w:tcPr>
          <w:p w:rsidR="00494F64" w:rsidRDefault="00BE5BA7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Addis, Dawn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Alvarez, David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Bonta, Mia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Hoover, Josh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McCarty, Kevin</w:t>
            </w:r>
            <w:r>
              <w:br/>
            </w:r>
          </w:p>
        </w:tc>
        <w:tc>
          <w:tcPr>
            <w:tcW w:w="3000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F64" w:rsidRDefault="00BE5BA7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EDUCATION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F64" w:rsidRDefault="00BE5BA7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AL MURATSUCHI </w:t>
            </w:r>
            <w:r>
              <w:fldChar w:fldCharType="end"/>
            </w:r>
          </w:p>
          <w:p w:rsidR="00494F64" w:rsidRDefault="00BE5BA7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494F64" w:rsidRDefault="00BE5BA7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Tanya Lieberman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Chelsea Kelley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Debbie Look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Marguerite Ries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Lead 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Lauren Robinson</w:t>
            </w:r>
            <w:r>
              <w:br/>
            </w:r>
          </w:p>
          <w:p w:rsidR="00494F64" w:rsidRDefault="00BE5BA7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1020 N Street, Room 159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319-2087</w:t>
            </w:r>
            <w:r>
              <w:br/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:rsidR="00494F64" w:rsidRDefault="00BE5BA7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April 3, 2024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1:30 p.m. -- State Capitol, Room 126</w:t>
            </w:r>
          </w:p>
          <w:p w:rsidR="00494F64" w:rsidRDefault="00494F64">
            <w:pPr>
              <w:jc w:val="center"/>
            </w:pPr>
          </w:p>
        </w:tc>
      </w:tr>
    </w:tbl>
    <w:p w:rsidR="00494F64" w:rsidRDefault="00494F64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494F64">
        <w:trPr>
          <w:cantSplit/>
          <w:tblCellSpacing w:w="20" w:type="dxa"/>
        </w:trPr>
        <w:tc>
          <w:tcPr>
            <w:tcW w:w="14360" w:type="dxa"/>
          </w:tcPr>
          <w:p w:rsidR="00494F64" w:rsidRDefault="00BE5BA7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BILLS HEARD IN SIGN-IN ORDER</w:t>
            </w:r>
          </w:p>
        </w:tc>
      </w:tr>
    </w:tbl>
    <w:p w:rsidR="00494F64" w:rsidRDefault="00494F64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686"/>
        <w:gridCol w:w="719"/>
        <w:gridCol w:w="1178"/>
        <w:gridCol w:w="2316"/>
        <w:gridCol w:w="5568"/>
      </w:tblGrid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1851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Holden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Drinking water: schoolsites: lead testing pilot program.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1947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Luz Rivas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California state preschool programs: contracting agencies: staff training days.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D4DC2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1971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Addis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Student Online Personal Information Protection Act: administration of standardized tests.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4.</w:t>
            </w:r>
          </w:p>
        </w:tc>
        <w:tc>
          <w:tcPr>
            <w:tcW w:w="1138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AB 2009</w:t>
            </w:r>
          </w:p>
        </w:tc>
        <w:tc>
          <w:tcPr>
            <w:tcW w:w="2276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Rendon</w:t>
            </w:r>
          </w:p>
        </w:tc>
        <w:tc>
          <w:tcPr>
            <w:tcW w:w="5508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School districts: public contracts.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Pr="00BA7721" w:rsidRDefault="009A59E4">
            <w:pPr>
              <w:rPr>
                <w:strike/>
              </w:rPr>
            </w:pPr>
            <w:r w:rsidRPr="00BA7721">
              <w:rPr>
                <w:rFonts w:ascii="Arial" w:hAnsi="Arial"/>
                <w:strike/>
                <w:color w:val="000000"/>
              </w:rPr>
              <w:t>5.</w:t>
            </w:r>
          </w:p>
        </w:tc>
        <w:tc>
          <w:tcPr>
            <w:tcW w:w="1138" w:type="dxa"/>
          </w:tcPr>
          <w:p w:rsidR="009A59E4" w:rsidRPr="00BA7721" w:rsidRDefault="009A59E4">
            <w:pPr>
              <w:rPr>
                <w:strike/>
              </w:rPr>
            </w:pPr>
            <w:r w:rsidRPr="00BA7721">
              <w:rPr>
                <w:rFonts w:ascii="Arial" w:hAnsi="Arial"/>
                <w:strike/>
                <w:color w:val="000000"/>
              </w:rPr>
              <w:t>AB 2097</w:t>
            </w:r>
          </w:p>
        </w:tc>
        <w:tc>
          <w:tcPr>
            <w:tcW w:w="2276" w:type="dxa"/>
          </w:tcPr>
          <w:p w:rsidR="009A59E4" w:rsidRPr="00BA7721" w:rsidRDefault="009A59E4">
            <w:pPr>
              <w:rPr>
                <w:strike/>
              </w:rPr>
            </w:pPr>
            <w:r w:rsidRPr="00BA7721">
              <w:rPr>
                <w:rFonts w:ascii="Arial" w:hAnsi="Arial"/>
                <w:strike/>
                <w:color w:val="000000"/>
              </w:rPr>
              <w:t>Berman</w:t>
            </w:r>
          </w:p>
        </w:tc>
        <w:tc>
          <w:tcPr>
            <w:tcW w:w="5508" w:type="dxa"/>
          </w:tcPr>
          <w:p w:rsidR="009A59E4" w:rsidRPr="00BA7721" w:rsidRDefault="009A59E4">
            <w:r w:rsidRPr="00BA7721">
              <w:rPr>
                <w:rFonts w:ascii="Arial" w:hAnsi="Arial"/>
                <w:strike/>
                <w:color w:val="000000"/>
              </w:rPr>
              <w:t>Pupil instruction: high schools: computer science education courses: graduation requirements.</w:t>
            </w:r>
            <w:r w:rsidR="00BA7721">
              <w:rPr>
                <w:rFonts w:ascii="Arial" w:hAnsi="Arial"/>
                <w:strike/>
                <w:color w:val="000000"/>
              </w:rPr>
              <w:t xml:space="preserve"> </w:t>
            </w:r>
            <w:r w:rsidR="00BA7721">
              <w:rPr>
                <w:rFonts w:ascii="Arial" w:hAnsi="Arial"/>
                <w:color w:val="000000"/>
              </w:rPr>
              <w:t>Pulled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2134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Muratsuchi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employees: transfer of leave of absence for illness or injury.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D4DC2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2137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Quirk-Silva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Homeless and foster youth.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8.</w:t>
            </w:r>
          </w:p>
        </w:tc>
        <w:tc>
          <w:tcPr>
            <w:tcW w:w="1138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AB 2165</w:t>
            </w:r>
          </w:p>
        </w:tc>
        <w:tc>
          <w:tcPr>
            <w:tcW w:w="2276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Reyes</w:t>
            </w:r>
          </w:p>
        </w:tc>
        <w:tc>
          <w:tcPr>
            <w:tcW w:w="5508" w:type="dxa"/>
          </w:tcPr>
          <w:p w:rsidR="009A59E4" w:rsidRPr="007037BA" w:rsidRDefault="009A59E4">
            <w:pPr>
              <w:rPr>
                <w:strike/>
              </w:rPr>
            </w:pPr>
            <w:r w:rsidRPr="007037BA">
              <w:rPr>
                <w:rFonts w:ascii="Arial" w:hAnsi="Arial"/>
                <w:strike/>
                <w:color w:val="000000"/>
              </w:rPr>
              <w:t>Pupil instruction: financial aid application.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D4DC2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2181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Gipson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Juvenile court school pupils: graduation requirements and continued education options.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10.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2229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California Healthy Youth Act: menstrual health education.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11.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2245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Juan Carrillo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Certificated school employees: permanent status: regional occupational centers or programs.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12.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2268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Muratsuchi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English learners: English language proficiency assessment.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13.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2316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Gabriel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 nutrition: substances: prohibition.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14.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2351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Lowenthal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Suspensions and expulsions: acts occuring outside of school hours.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FF07C6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15.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2534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Flora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Certificated employees: disclosures: egregious misconduct.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16.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2652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Muratsuchi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State Department of Education: artificial intelligence working group.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17.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2714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Wallis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 xml:space="preserve">Pupil health: epinephrine delivery systems. 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18.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2771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Maienschein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 attendance: schoolsite absence intervention teams.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19.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2876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Berman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 instruction: media literacy: artificial intelligence literacy: curriculum frameworks: instructional materials.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20.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2887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Maienschein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safety plans: medical emergency procedures.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21.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2901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Aguiar-Curry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and community college employees: paid disability and parental leave.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22.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2932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Joe Patterson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 instruction: sextortion prevention.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23.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3038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Essayli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safety: armed school resource officers.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24.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3074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Schiavo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or athletic team names: California Racial Mascots Act.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25.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3140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Hoover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School districts: reorganization.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9A59E4" w:rsidP="009A59E4">
            <w:pPr>
              <w:jc w:val="right"/>
              <w:rPr>
                <w:rFonts w:ascii="Arial" w:hAnsi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26.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3216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Hoover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Pupils: use of smartphones.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27.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3223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Foster Youth Services Coordinating Program.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28.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3262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Maienschein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Automated external defibrillators.</w:t>
            </w:r>
          </w:p>
        </w:tc>
      </w:tr>
      <w:tr w:rsidR="009A59E4" w:rsidTr="009A59E4">
        <w:trPr>
          <w:cantSplit/>
          <w:tblCellSpacing w:w="20" w:type="dxa"/>
        </w:trPr>
        <w:tc>
          <w:tcPr>
            <w:tcW w:w="626" w:type="dxa"/>
          </w:tcPr>
          <w:p w:rsidR="009A59E4" w:rsidRDefault="00BE5BA7" w:rsidP="009A59E4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*</w:t>
            </w:r>
          </w:p>
        </w:tc>
        <w:tc>
          <w:tcPr>
            <w:tcW w:w="679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29.</w:t>
            </w:r>
          </w:p>
        </w:tc>
        <w:tc>
          <w:tcPr>
            <w:tcW w:w="113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AB 3271</w:t>
            </w:r>
          </w:p>
        </w:tc>
        <w:tc>
          <w:tcPr>
            <w:tcW w:w="2276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Joe Patterson</w:t>
            </w:r>
          </w:p>
        </w:tc>
        <w:tc>
          <w:tcPr>
            <w:tcW w:w="5508" w:type="dxa"/>
          </w:tcPr>
          <w:p w:rsidR="009A59E4" w:rsidRDefault="009A59E4">
            <w:r>
              <w:rPr>
                <w:rFonts w:ascii="Arial" w:hAnsi="Arial"/>
                <w:color w:val="000000"/>
              </w:rPr>
              <w:t>Pupil health: opioid antagonists.</w:t>
            </w:r>
          </w:p>
        </w:tc>
      </w:tr>
    </w:tbl>
    <w:p w:rsidR="00494F64" w:rsidRDefault="00494F64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494F64">
        <w:trPr>
          <w:cantSplit/>
          <w:tblCellSpacing w:w="20" w:type="dxa"/>
        </w:trPr>
        <w:tc>
          <w:tcPr>
            <w:tcW w:w="14360" w:type="dxa"/>
          </w:tcPr>
          <w:p w:rsidR="00494F64" w:rsidRDefault="00BE5BA7" w:rsidP="00BE5BA7">
            <w:r>
              <w:t>*Proposed Consent</w:t>
            </w:r>
          </w:p>
        </w:tc>
      </w:tr>
    </w:tbl>
    <w:p w:rsidR="00494F64" w:rsidRDefault="00494F64"/>
    <w:p w:rsidR="00E74E45" w:rsidRPr="00432AAD" w:rsidRDefault="00E74E45" w:rsidP="00E75DE6"/>
    <w:sectPr w:rsidR="00E74E45" w:rsidRPr="00432AAD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11" w:rsidRDefault="00CA3E11" w:rsidP="00124AD3">
      <w:r>
        <w:separator/>
      </w:r>
    </w:p>
  </w:endnote>
  <w:endnote w:type="continuationSeparator" w:id="0">
    <w:p w:rsidR="00CA3E11" w:rsidRDefault="00CA3E1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64" w:rsidRDefault="00494F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11" w:rsidRDefault="00CA3E11" w:rsidP="00124AD3">
      <w:r>
        <w:separator/>
      </w:r>
    </w:p>
  </w:footnote>
  <w:footnote w:type="continuationSeparator" w:id="0">
    <w:p w:rsidR="00CA3E11" w:rsidRDefault="00CA3E1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1"/>
    <w:rsid w:val="00013DE9"/>
    <w:rsid w:val="000352C8"/>
    <w:rsid w:val="0005246B"/>
    <w:rsid w:val="0008535A"/>
    <w:rsid w:val="000E11C8"/>
    <w:rsid w:val="0011117E"/>
    <w:rsid w:val="00124AD3"/>
    <w:rsid w:val="001328F1"/>
    <w:rsid w:val="001A665F"/>
    <w:rsid w:val="001D3CFC"/>
    <w:rsid w:val="001F066A"/>
    <w:rsid w:val="001F141D"/>
    <w:rsid w:val="002618EE"/>
    <w:rsid w:val="00276005"/>
    <w:rsid w:val="002F2850"/>
    <w:rsid w:val="00351592"/>
    <w:rsid w:val="00377643"/>
    <w:rsid w:val="003E7783"/>
    <w:rsid w:val="00432AAD"/>
    <w:rsid w:val="00494F64"/>
    <w:rsid w:val="004A1B22"/>
    <w:rsid w:val="00643CA5"/>
    <w:rsid w:val="00647463"/>
    <w:rsid w:val="006A20D8"/>
    <w:rsid w:val="00701A25"/>
    <w:rsid w:val="007037BA"/>
    <w:rsid w:val="00754D49"/>
    <w:rsid w:val="007642FE"/>
    <w:rsid w:val="007B7CF1"/>
    <w:rsid w:val="007C2A8C"/>
    <w:rsid w:val="007F7F6D"/>
    <w:rsid w:val="00822375"/>
    <w:rsid w:val="008C0652"/>
    <w:rsid w:val="008D0F60"/>
    <w:rsid w:val="00921C99"/>
    <w:rsid w:val="00994CC4"/>
    <w:rsid w:val="009A59E4"/>
    <w:rsid w:val="00A26923"/>
    <w:rsid w:val="00AF1D59"/>
    <w:rsid w:val="00B111FF"/>
    <w:rsid w:val="00B23322"/>
    <w:rsid w:val="00B57026"/>
    <w:rsid w:val="00BA7721"/>
    <w:rsid w:val="00BD4DC2"/>
    <w:rsid w:val="00BE5BA7"/>
    <w:rsid w:val="00BE7382"/>
    <w:rsid w:val="00CA3E11"/>
    <w:rsid w:val="00D85DC6"/>
    <w:rsid w:val="00E01208"/>
    <w:rsid w:val="00E6166F"/>
    <w:rsid w:val="00E74E45"/>
    <w:rsid w:val="00E75DE6"/>
    <w:rsid w:val="00EB0F11"/>
    <w:rsid w:val="00F303A4"/>
    <w:rsid w:val="00FB3A96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E4C406-600B-4E48-AB74-9F09590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Robinson, Lauren</cp:lastModifiedBy>
  <cp:revision>8</cp:revision>
  <dcterms:created xsi:type="dcterms:W3CDTF">2024-03-28T18:32:00Z</dcterms:created>
  <dcterms:modified xsi:type="dcterms:W3CDTF">2024-04-03T18:24:00Z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5aacd6922a8901352edf657080a83a006eced61c60e66c43c4c94eb5d3568ff0</vt:lpwstr>
  </property>
</Properties>
</file>