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78" w:rsidRDefault="00117DF5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Date of Hearing: April 3, 2024</w:t>
      </w:r>
    </w:p>
    <w:p w:rsidR="00473678" w:rsidRDefault="00473678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1851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1947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1971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2134</w:t>
            </w:r>
          </w:p>
        </w:tc>
      </w:tr>
      <w:tr w:rsidR="00473678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pass,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P. E. &amp; R.</w:t>
            </w: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473678" w:rsidRDefault="00473678">
      <w:pPr>
        <w:rPr>
          <w:rFonts w:ascii="Times New Roman" w:hAnsi="Times New Roman" w:cs="Times New Roman"/>
          <w:color w:val="000000"/>
        </w:rPr>
      </w:pP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0010E7">
        <w:rPr>
          <w:rFonts w:ascii="Times New Roman" w:hAnsi="Times New Roman" w:cs="Times New Roman"/>
          <w:color w:val="000000"/>
        </w:rPr>
        <w:t xml:space="preserve">                               </w:t>
      </w:r>
      <w:r w:rsidR="000010E7" w:rsidRPr="002442E8">
        <w:rPr>
          <w:noProof/>
        </w:rPr>
        <w:drawing>
          <wp:inline distT="0" distB="0" distL="0" distR="0" wp14:anchorId="144A1455" wp14:editId="78FAAE95">
            <wp:extent cx="2791460" cy="741045"/>
            <wp:effectExtent l="0" t="0" r="8890" b="1905"/>
            <wp:docPr id="1" name="Picture 1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:rsidR="00473678" w:rsidRDefault="00473678">
      <w:pPr>
        <w:ind w:left="80"/>
        <w:rPr>
          <w:rFonts w:ascii="Times New Roman" w:hAnsi="Times New Roman" w:cs="Times New Roman"/>
          <w:color w:val="000000"/>
        </w:rPr>
        <w:sectPr w:rsidR="00473678" w:rsidSect="00117DF5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473678" w:rsidRDefault="00117DF5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3, 2024</w:t>
      </w:r>
    </w:p>
    <w:p w:rsidR="00473678" w:rsidRDefault="00473678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2137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2181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2229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2245</w:t>
            </w:r>
          </w:p>
        </w:tc>
      </w:tr>
      <w:tr w:rsidR="00473678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Hum. S.,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1</w:t>
            </w:r>
          </w:p>
        </w:tc>
      </w:tr>
    </w:tbl>
    <w:p w:rsidR="00473678" w:rsidRDefault="00473678">
      <w:pPr>
        <w:rPr>
          <w:rFonts w:ascii="Times New Roman" w:hAnsi="Times New Roman" w:cs="Times New Roman"/>
          <w:color w:val="000000"/>
        </w:rPr>
      </w:pP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0010E7">
        <w:rPr>
          <w:rFonts w:ascii="Times New Roman" w:hAnsi="Times New Roman" w:cs="Times New Roman"/>
          <w:color w:val="000000"/>
        </w:rPr>
        <w:t xml:space="preserve">                               </w:t>
      </w:r>
      <w:r w:rsidR="000010E7" w:rsidRPr="002442E8">
        <w:rPr>
          <w:noProof/>
        </w:rPr>
        <w:drawing>
          <wp:inline distT="0" distB="0" distL="0" distR="0" wp14:anchorId="144A1455" wp14:editId="78FAAE95">
            <wp:extent cx="2791460" cy="741045"/>
            <wp:effectExtent l="0" t="0" r="8890" b="1905"/>
            <wp:docPr id="2" name="Picture 2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:rsidR="00473678" w:rsidRDefault="00473678">
      <w:pPr>
        <w:ind w:left="80"/>
        <w:rPr>
          <w:rFonts w:ascii="Times New Roman" w:hAnsi="Times New Roman" w:cs="Times New Roman"/>
          <w:color w:val="000000"/>
        </w:rPr>
        <w:sectPr w:rsidR="00473678" w:rsidSect="00117DF5">
          <w:headerReference w:type="default" r:id="rId9"/>
          <w:footerReference w:type="default" r:id="rId1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473678" w:rsidRDefault="00117DF5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3, 2024</w:t>
      </w:r>
    </w:p>
    <w:p w:rsidR="00473678" w:rsidRDefault="00473678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2268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2351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2534</w:t>
            </w:r>
          </w:p>
        </w:tc>
      </w:tr>
      <w:tr w:rsidR="00473678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E.S. &amp; T.M.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Jud.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473678" w:rsidRDefault="00473678">
      <w:pPr>
        <w:rPr>
          <w:rFonts w:ascii="Times New Roman" w:hAnsi="Times New Roman" w:cs="Times New Roman"/>
          <w:color w:val="000000"/>
        </w:rPr>
      </w:pP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="000010E7" w:rsidRPr="002442E8">
        <w:rPr>
          <w:noProof/>
        </w:rPr>
        <w:drawing>
          <wp:inline distT="0" distB="0" distL="0" distR="0" wp14:anchorId="144A1455" wp14:editId="78FAAE95">
            <wp:extent cx="2791460" cy="741045"/>
            <wp:effectExtent l="0" t="0" r="8890" b="1905"/>
            <wp:docPr id="3" name="Picture 3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:rsidR="00473678" w:rsidRDefault="00473678">
      <w:pPr>
        <w:ind w:left="80"/>
        <w:rPr>
          <w:rFonts w:ascii="Times New Roman" w:hAnsi="Times New Roman" w:cs="Times New Roman"/>
          <w:color w:val="000000"/>
        </w:rPr>
        <w:sectPr w:rsidR="00473678" w:rsidSect="00117DF5">
          <w:headerReference w:type="default" r:id="rId11"/>
          <w:footerReference w:type="default" r:id="rId12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473678" w:rsidRDefault="00117DF5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3, 2024</w:t>
      </w:r>
    </w:p>
    <w:p w:rsidR="00473678" w:rsidRDefault="00473678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2652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2714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2771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2876</w:t>
            </w:r>
          </w:p>
        </w:tc>
      </w:tr>
      <w:tr w:rsidR="00473678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P. &amp; C.P.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473678" w:rsidRDefault="00473678">
      <w:pPr>
        <w:rPr>
          <w:rFonts w:ascii="Times New Roman" w:hAnsi="Times New Roman" w:cs="Times New Roman"/>
          <w:color w:val="000000"/>
        </w:rPr>
      </w:pP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="000010E7" w:rsidRPr="002442E8">
        <w:rPr>
          <w:noProof/>
        </w:rPr>
        <w:drawing>
          <wp:inline distT="0" distB="0" distL="0" distR="0" wp14:anchorId="144A1455" wp14:editId="78FAAE95">
            <wp:extent cx="2791460" cy="741045"/>
            <wp:effectExtent l="0" t="0" r="8890" b="1905"/>
            <wp:docPr id="4" name="Picture 4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:rsidR="00473678" w:rsidRDefault="00473678">
      <w:pPr>
        <w:ind w:left="80"/>
        <w:rPr>
          <w:rFonts w:ascii="Times New Roman" w:hAnsi="Times New Roman" w:cs="Times New Roman"/>
          <w:color w:val="000000"/>
        </w:rPr>
        <w:sectPr w:rsidR="00473678" w:rsidSect="00117DF5">
          <w:headerReference w:type="default" r:id="rId13"/>
          <w:footerReference w:type="default" r:id="rId14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473678" w:rsidRDefault="00117DF5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3, 2024</w:t>
      </w:r>
    </w:p>
    <w:p w:rsidR="00473678" w:rsidRDefault="00473678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2887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2901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2932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3038</w:t>
            </w:r>
          </w:p>
        </w:tc>
      </w:tr>
      <w:tr w:rsidR="00473678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Higher Ed.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Pub. S.</w:t>
            </w: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FAILED PASSAGE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2</w:t>
            </w: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4</w:t>
            </w:r>
          </w:p>
        </w:tc>
      </w:tr>
    </w:tbl>
    <w:p w:rsidR="00473678" w:rsidRDefault="00473678">
      <w:pPr>
        <w:rPr>
          <w:rFonts w:ascii="Times New Roman" w:hAnsi="Times New Roman" w:cs="Times New Roman"/>
          <w:color w:val="000000"/>
        </w:rPr>
      </w:pP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="000010E7" w:rsidRPr="002442E8">
        <w:rPr>
          <w:noProof/>
        </w:rPr>
        <w:drawing>
          <wp:inline distT="0" distB="0" distL="0" distR="0" wp14:anchorId="144A1455" wp14:editId="78FAAE95">
            <wp:extent cx="2791460" cy="741045"/>
            <wp:effectExtent l="0" t="0" r="8890" b="1905"/>
            <wp:docPr id="5" name="Picture 5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:rsidR="00473678" w:rsidRDefault="00473678">
      <w:pPr>
        <w:ind w:left="80"/>
        <w:rPr>
          <w:rFonts w:ascii="Times New Roman" w:hAnsi="Times New Roman" w:cs="Times New Roman"/>
          <w:color w:val="000000"/>
        </w:rPr>
        <w:sectPr w:rsidR="00473678" w:rsidSect="00117DF5">
          <w:headerReference w:type="default" r:id="rId15"/>
          <w:footerReference w:type="default" r:id="rId16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473678" w:rsidRDefault="00117DF5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3, 2024</w:t>
      </w:r>
    </w:p>
    <w:p w:rsidR="00473678" w:rsidRDefault="00473678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3074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3140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3216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3223</w:t>
            </w:r>
          </w:p>
        </w:tc>
      </w:tr>
      <w:tr w:rsidR="00473678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Higher Ed.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Hum. S., Rec. Consent</w:t>
            </w: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473678" w:rsidRDefault="00473678">
      <w:pPr>
        <w:rPr>
          <w:rFonts w:ascii="Times New Roman" w:hAnsi="Times New Roman" w:cs="Times New Roman"/>
          <w:color w:val="000000"/>
        </w:rPr>
      </w:pP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="000010E7" w:rsidRPr="002442E8">
        <w:rPr>
          <w:noProof/>
        </w:rPr>
        <w:drawing>
          <wp:inline distT="0" distB="0" distL="0" distR="0" wp14:anchorId="144A1455" wp14:editId="78FAAE95">
            <wp:extent cx="2791460" cy="741045"/>
            <wp:effectExtent l="0" t="0" r="8890" b="1905"/>
            <wp:docPr id="6" name="Picture 6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:rsidR="00473678" w:rsidRDefault="00473678">
      <w:pPr>
        <w:ind w:left="80"/>
        <w:rPr>
          <w:rFonts w:ascii="Times New Roman" w:hAnsi="Times New Roman" w:cs="Times New Roman"/>
          <w:color w:val="000000"/>
        </w:rPr>
        <w:sectPr w:rsidR="00473678" w:rsidSect="00117DF5">
          <w:headerReference w:type="default" r:id="rId17"/>
          <w:footerReference w:type="default" r:id="rId1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473678" w:rsidRDefault="00117DF5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3, 2024</w:t>
      </w:r>
    </w:p>
    <w:p w:rsidR="00473678" w:rsidRDefault="00473678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3262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3271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amended, to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Health,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3678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0</w:t>
            </w:r>
          </w:p>
        </w:tc>
      </w:tr>
      <w:tr w:rsidR="00473678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47367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3678" w:rsidRDefault="00117DF5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473678" w:rsidRDefault="00473678">
      <w:pPr>
        <w:rPr>
          <w:rFonts w:ascii="Times New Roman" w:hAnsi="Times New Roman" w:cs="Times New Roman"/>
          <w:color w:val="000000"/>
        </w:rPr>
      </w:pP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                   </w:t>
      </w:r>
    </w:p>
    <w:p w:rsidR="00473678" w:rsidRDefault="00117DF5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="000010E7" w:rsidRPr="002442E8">
        <w:rPr>
          <w:noProof/>
        </w:rPr>
        <w:drawing>
          <wp:inline distT="0" distB="0" distL="0" distR="0" wp14:anchorId="144A1455" wp14:editId="78FAAE95">
            <wp:extent cx="2791460" cy="741045"/>
            <wp:effectExtent l="0" t="0" r="8890" b="1905"/>
            <wp:docPr id="7" name="Picture 7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>, CHAIR</w:t>
      </w:r>
    </w:p>
    <w:p w:rsidR="00473678" w:rsidRDefault="00473678">
      <w:pPr>
        <w:ind w:left="8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473678" w:rsidSect="00117DF5">
      <w:headerReference w:type="default" r:id="rId19"/>
      <w:footerReference w:type="default" r:id="rId20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678" w:rsidRDefault="00117DF5">
      <w:r>
        <w:separator/>
      </w:r>
    </w:p>
  </w:endnote>
  <w:endnote w:type="continuationSeparator" w:id="0">
    <w:p w:rsidR="00473678" w:rsidRDefault="0011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0E7">
      <w:rPr>
        <w:rFonts w:ascii="Times New Roman" w:hAnsi="Times New Roman" w:cs="Times New Roman"/>
        <w:noProof/>
        <w:color w:val="auto"/>
      </w:rPr>
      <w:t>1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0E7">
      <w:rPr>
        <w:rFonts w:ascii="Times New Roman" w:hAnsi="Times New Roman" w:cs="Times New Roman"/>
        <w:noProof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0E7">
      <w:rPr>
        <w:rFonts w:ascii="Times New Roman" w:hAnsi="Times New Roman" w:cs="Times New Roman"/>
        <w:noProof/>
        <w:color w:val="auto"/>
      </w:rPr>
      <w:t>3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0E7">
      <w:rPr>
        <w:rFonts w:ascii="Times New Roman" w:hAnsi="Times New Roman" w:cs="Times New Roman"/>
        <w:noProof/>
        <w:color w:val="auto"/>
      </w:rPr>
      <w:t>4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0E7">
      <w:rPr>
        <w:rFonts w:ascii="Times New Roman" w:hAnsi="Times New Roman" w:cs="Times New Roman"/>
        <w:noProof/>
        <w:color w:val="auto"/>
      </w:rPr>
      <w:t>5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0E7">
      <w:rPr>
        <w:rFonts w:ascii="Times New Roman" w:hAnsi="Times New Roman" w:cs="Times New Roman"/>
        <w:noProof/>
        <w:color w:val="auto"/>
      </w:rPr>
      <w:t>6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0010E7">
      <w:rPr>
        <w:rFonts w:ascii="Times New Roman" w:hAnsi="Times New Roman" w:cs="Times New Roman"/>
        <w:noProof/>
        <w:color w:val="auto"/>
      </w:rPr>
      <w:t>7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678" w:rsidRDefault="00117DF5">
      <w:r>
        <w:separator/>
      </w:r>
    </w:p>
  </w:footnote>
  <w:footnote w:type="continuationSeparator" w:id="0">
    <w:p w:rsidR="00473678" w:rsidRDefault="0011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473678" w:rsidRDefault="00473678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473678" w:rsidRDefault="00117DF5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473678" w:rsidRDefault="00473678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473678" w:rsidRDefault="00117DF5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473678" w:rsidRDefault="00473678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473678" w:rsidRDefault="00117DF5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473678" w:rsidRDefault="00473678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473678" w:rsidRDefault="00117DF5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473678" w:rsidRDefault="00473678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473678" w:rsidRDefault="00117DF5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473678" w:rsidRDefault="00473678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473678" w:rsidRDefault="00117DF5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678" w:rsidRDefault="00117DF5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473678" w:rsidRDefault="00473678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473678" w:rsidRDefault="00117DF5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F5"/>
    <w:rsid w:val="000010E7"/>
    <w:rsid w:val="00117DF5"/>
    <w:rsid w:val="004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C7FA2"/>
  <w14:defaultImageDpi w14:val="0"/>
  <w15:docId w15:val="{F9E55B76-9AF5-4617-AA40-A7203945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1163</Words>
  <Characters>6161</Characters>
  <Application>Microsoft Office Word</Application>
  <DocSecurity>0</DocSecurity>
  <Lines>6161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Lauren</dc:creator>
  <cp:keywords/>
  <dc:description/>
  <cp:lastModifiedBy>Robinson, Lauren</cp:lastModifiedBy>
  <cp:revision>2</cp:revision>
  <dcterms:created xsi:type="dcterms:W3CDTF">2024-04-04T17:33:00Z</dcterms:created>
  <dcterms:modified xsi:type="dcterms:W3CDTF">2024-04-04T17:33:00Z</dcterms:modified>
</cp:coreProperties>
</file>