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6212" w14:textId="77777777" w:rsidR="001C62A8" w:rsidRPr="00951274" w:rsidRDefault="001C62A8" w:rsidP="001C62A8">
      <w:pPr>
        <w:ind w:left="720" w:hanging="360"/>
        <w:jc w:val="center"/>
        <w:rPr>
          <w:rFonts w:eastAsia="Century Gothic" w:cs="Century Gothic"/>
          <w:b/>
          <w:bCs/>
        </w:rPr>
      </w:pPr>
      <w:r w:rsidRPr="2279483F">
        <w:rPr>
          <w:rFonts w:ascii="Century Gothic" w:eastAsia="Century Gothic" w:hAnsi="Century Gothic" w:cs="Century Gothic"/>
          <w:b/>
          <w:bCs/>
        </w:rPr>
        <w:t xml:space="preserve">Assembly Subcommittee 3 on Education Finance and </w:t>
      </w:r>
    </w:p>
    <w:p w14:paraId="7B4D1657" w14:textId="77777777" w:rsidR="001C62A8" w:rsidRPr="00951274" w:rsidRDefault="001C62A8" w:rsidP="001C62A8">
      <w:pPr>
        <w:ind w:left="720" w:hanging="360"/>
        <w:jc w:val="center"/>
        <w:rPr>
          <w:rFonts w:eastAsia="Century Gothic" w:cs="Century Gothic"/>
          <w:b/>
          <w:bCs/>
        </w:rPr>
      </w:pPr>
      <w:r w:rsidRPr="2279483F">
        <w:rPr>
          <w:rFonts w:ascii="Century Gothic" w:eastAsia="Century Gothic" w:hAnsi="Century Gothic" w:cs="Century Gothic"/>
          <w:b/>
          <w:bCs/>
        </w:rPr>
        <w:t>Assembly Education Committee</w:t>
      </w:r>
    </w:p>
    <w:p w14:paraId="575F0496" w14:textId="77777777" w:rsidR="001C62A8" w:rsidRPr="00951274" w:rsidRDefault="001C62A8" w:rsidP="001C62A8">
      <w:pPr>
        <w:ind w:left="720" w:hanging="360"/>
        <w:jc w:val="center"/>
        <w:rPr>
          <w:rFonts w:eastAsia="Century Gothic" w:cs="Century Gothic"/>
          <w:b/>
          <w:bCs/>
        </w:rPr>
      </w:pPr>
    </w:p>
    <w:p w14:paraId="733FC76E" w14:textId="77777777" w:rsidR="001C62A8" w:rsidRPr="00951274" w:rsidRDefault="001C62A8" w:rsidP="001C62A8">
      <w:pPr>
        <w:ind w:left="720" w:hanging="360"/>
        <w:jc w:val="center"/>
        <w:rPr>
          <w:rFonts w:eastAsia="Century Gothic" w:cs="Century Gothic"/>
          <w:b/>
          <w:bCs/>
        </w:rPr>
      </w:pPr>
      <w:r w:rsidRPr="2279483F">
        <w:rPr>
          <w:rFonts w:ascii="Century Gothic" w:eastAsia="Century Gothic" w:hAnsi="Century Gothic" w:cs="Century Gothic"/>
          <w:b/>
          <w:bCs/>
        </w:rPr>
        <w:t>Joint Informational Hearing: Coherence in Education Finance and Planning</w:t>
      </w:r>
    </w:p>
    <w:p w14:paraId="70D2B81A" w14:textId="77777777" w:rsidR="001C62A8" w:rsidRPr="00951274" w:rsidRDefault="001C62A8" w:rsidP="001C62A8">
      <w:pPr>
        <w:ind w:left="720" w:hanging="360"/>
        <w:jc w:val="center"/>
        <w:rPr>
          <w:rFonts w:eastAsia="Century Gothic" w:cs="Century Gothic"/>
          <w:b/>
          <w:bCs/>
        </w:rPr>
      </w:pPr>
      <w:r w:rsidRPr="2279483F">
        <w:rPr>
          <w:rFonts w:ascii="Century Gothic" w:eastAsia="Century Gothic" w:hAnsi="Century Gothic" w:cs="Century Gothic"/>
          <w:b/>
          <w:bCs/>
        </w:rPr>
        <w:t>February 25, 2026, 1:30 pm,</w:t>
      </w:r>
    </w:p>
    <w:p w14:paraId="5EEDA213" w14:textId="77777777" w:rsidR="001C62A8" w:rsidRPr="00951274" w:rsidRDefault="001C62A8" w:rsidP="001C62A8">
      <w:pPr>
        <w:ind w:left="720" w:hanging="360"/>
        <w:jc w:val="center"/>
        <w:rPr>
          <w:rFonts w:eastAsia="Century Gothic" w:cs="Century Gothic"/>
          <w:b/>
          <w:bCs/>
        </w:rPr>
      </w:pPr>
      <w:r w:rsidRPr="2279483F">
        <w:rPr>
          <w:rFonts w:ascii="Century Gothic" w:eastAsia="Century Gothic" w:hAnsi="Century Gothic" w:cs="Century Gothic"/>
          <w:b/>
          <w:bCs/>
        </w:rPr>
        <w:t>1021 O Street, Room 1100</w:t>
      </w:r>
    </w:p>
    <w:p w14:paraId="5D6F8AA4" w14:textId="77777777" w:rsidR="001C62A8" w:rsidRDefault="001C62A8" w:rsidP="001C62A8">
      <w:pPr>
        <w:rPr>
          <w:rFonts w:eastAsia="Century Gothic" w:cs="Century Gothic"/>
          <w:b/>
          <w:bCs/>
        </w:rPr>
      </w:pPr>
    </w:p>
    <w:p w14:paraId="00734D8F" w14:textId="757EB11F" w:rsidR="001C62A8" w:rsidRPr="001C62A8" w:rsidRDefault="001C62A8" w:rsidP="001C62A8">
      <w:pPr>
        <w:ind w:left="720" w:hanging="360"/>
        <w:jc w:val="center"/>
        <w:rPr>
          <w:rFonts w:ascii="Century Gothic" w:eastAsia="Century Gothic" w:hAnsi="Century Gothic" w:cs="Century Gothic"/>
          <w:b/>
          <w:bCs/>
          <w:i/>
          <w:iCs/>
        </w:rPr>
      </w:pPr>
      <w:r w:rsidRPr="001C62A8">
        <w:rPr>
          <w:rFonts w:ascii="Century Gothic" w:eastAsia="Century Gothic" w:hAnsi="Century Gothic" w:cs="Century Gothic"/>
          <w:b/>
          <w:bCs/>
          <w:i/>
          <w:iCs/>
        </w:rPr>
        <w:t>Panel 1: Overview of State Fiscal and Programmatic Planning Requirements</w:t>
      </w:r>
    </w:p>
    <w:p w14:paraId="646870CA" w14:textId="77777777" w:rsidR="001C62A8" w:rsidRPr="001C62A8" w:rsidRDefault="001C62A8" w:rsidP="001C62A8">
      <w:pPr>
        <w:ind w:left="720" w:hanging="360"/>
        <w:jc w:val="center"/>
        <w:rPr>
          <w:rFonts w:ascii="Century Gothic" w:eastAsia="Century Gothic" w:hAnsi="Century Gothic" w:cs="Century Gothic"/>
          <w:b/>
          <w:bCs/>
        </w:rPr>
      </w:pPr>
    </w:p>
    <w:p w14:paraId="1B26AA52" w14:textId="77777777" w:rsidR="001C62A8" w:rsidRPr="00951274" w:rsidRDefault="001C62A8" w:rsidP="001C62A8">
      <w:pPr>
        <w:ind w:left="720" w:hanging="360"/>
        <w:jc w:val="center"/>
        <w:rPr>
          <w:rFonts w:eastAsia="Century Gothic" w:cs="Century Gothic"/>
          <w:b/>
          <w:bCs/>
        </w:rPr>
      </w:pPr>
      <w:r w:rsidRPr="2279483F">
        <w:rPr>
          <w:rFonts w:ascii="Century Gothic" w:eastAsia="Century Gothic" w:hAnsi="Century Gothic" w:cs="Century Gothic"/>
          <w:b/>
          <w:bCs/>
        </w:rPr>
        <w:t>Brooks Allen</w:t>
      </w:r>
    </w:p>
    <w:p w14:paraId="3560BF1E" w14:textId="77777777" w:rsidR="001C62A8" w:rsidRDefault="001C62A8" w:rsidP="001C62A8">
      <w:pPr>
        <w:ind w:left="720" w:hanging="360"/>
        <w:jc w:val="center"/>
        <w:rPr>
          <w:rFonts w:ascii="Century Gothic" w:eastAsia="Century Gothic" w:hAnsi="Century Gothic" w:cs="Century Gothic"/>
          <w:b/>
          <w:bCs/>
        </w:rPr>
      </w:pPr>
      <w:r w:rsidRPr="2279483F">
        <w:rPr>
          <w:rFonts w:ascii="Century Gothic" w:eastAsia="Century Gothic" w:hAnsi="Century Gothic" w:cs="Century Gothic"/>
          <w:b/>
          <w:bCs/>
        </w:rPr>
        <w:t>Executive Director, State Board of Education</w:t>
      </w:r>
    </w:p>
    <w:p w14:paraId="1EE5E0E9" w14:textId="77777777" w:rsidR="001C62A8" w:rsidRPr="00951274" w:rsidRDefault="001C62A8" w:rsidP="001C62A8">
      <w:pPr>
        <w:ind w:left="720" w:hanging="360"/>
        <w:jc w:val="center"/>
        <w:rPr>
          <w:rFonts w:eastAsia="Century Gothic" w:cs="Century Gothic"/>
          <w:b/>
          <w:bCs/>
        </w:rPr>
      </w:pPr>
    </w:p>
    <w:p w14:paraId="3A3062A3" w14:textId="189DBBAC" w:rsidR="008F35CE" w:rsidRPr="008F35CE" w:rsidRDefault="008F35CE" w:rsidP="008F35CE">
      <w:r w:rsidRPr="008F35CE">
        <w:t>Good afternoon, my name is Brooks Allen, and I serve as Executive Director of the State Board of Education and Education Policy Advisor to Governor Newsom. I would like to extend my appreciation to Chair Alvarez and Chair Muratsuchi as well as members of the Assembly Budget Subcommittee No. 3 on Education Finance and the Assembly Education Committee for including me in this important conversation. </w:t>
      </w:r>
    </w:p>
    <w:p w14:paraId="039DA8BD" w14:textId="513E02FD" w:rsidR="008F35CE" w:rsidRPr="008F35CE" w:rsidRDefault="008F35CE" w:rsidP="008F35CE">
      <w:r w:rsidRPr="008F35CE">
        <w:t>For this panel on state fiscal and programmatic planning requirements, I will focus my comments on the role of the State Board of Education in the Local Control and Accountability Plan</w:t>
      </w:r>
      <w:r>
        <w:t>,</w:t>
      </w:r>
      <w:r w:rsidRPr="008F35CE">
        <w:t xml:space="preserve"> the LCAP. </w:t>
      </w:r>
      <w:r w:rsidRPr="008F35CE">
        <w:rPr>
          <w:b/>
          <w:bCs/>
        </w:rPr>
        <w:t>From the Board’s vantage point, the LCAP is where state expectations and local implementation most directly meet</w:t>
      </w:r>
      <w:r>
        <w:rPr>
          <w:b/>
          <w:bCs/>
        </w:rPr>
        <w:t>,</w:t>
      </w:r>
      <w:r w:rsidRPr="008F35CE">
        <w:rPr>
          <w:b/>
          <w:bCs/>
        </w:rPr>
        <w:t xml:space="preserve"> and where the cumulative weight of our policies is often felt most acutely.</w:t>
      </w:r>
    </w:p>
    <w:p w14:paraId="525F1CD2" w14:textId="77777777" w:rsidR="008F35CE" w:rsidRPr="008F35CE" w:rsidRDefault="008F35CE" w:rsidP="008F35CE">
      <w:r w:rsidRPr="008F35CE">
        <w:t>With that framing, I want to offer a set of observations grounded in the intentional tensions California has been navigating since LCFF and the LCAP were created.</w:t>
      </w:r>
    </w:p>
    <w:p w14:paraId="58EC8FEC" w14:textId="5C48310C" w:rsidR="008F35CE" w:rsidRPr="008F35CE" w:rsidRDefault="008F35CE" w:rsidP="008F35CE">
      <w:r w:rsidRPr="008F35CE">
        <w:rPr>
          <w:b/>
          <w:bCs/>
        </w:rPr>
        <w:t>First, there is a tension between simplicity and efficiency on one hand, and ensuring statewide priorities and guarantees are implemented as intended on the other.</w:t>
      </w:r>
      <w:r w:rsidRPr="008F35CE">
        <w:t> In 2013, California folded more than 40 categorical programs into the new Local Control Funding Formula to simplify how resources flow to districts</w:t>
      </w:r>
      <w:r w:rsidR="00AC555B">
        <w:t xml:space="preserve">, how districts spend those resources, as well as how </w:t>
      </w:r>
      <w:r w:rsidRPr="008F35CE">
        <w:t xml:space="preserve">to make funding more transparent and </w:t>
      </w:r>
      <w:proofErr w:type="gramStart"/>
      <w:r w:rsidRPr="008F35CE">
        <w:t>equity-driven</w:t>
      </w:r>
      <w:proofErr w:type="gramEnd"/>
      <w:r w:rsidRPr="008F35CE">
        <w:t>. At the same time, the Legislature entrusted the State Board with developing the LCAP template and related expenditure regulations</w:t>
      </w:r>
      <w:r>
        <w:t xml:space="preserve">: </w:t>
      </w:r>
      <w:r w:rsidRPr="008F35CE">
        <w:t xml:space="preserve">essentially creating the planning and </w:t>
      </w:r>
      <w:r w:rsidRPr="008F35CE">
        <w:lastRenderedPageBreak/>
        <w:t>accountability vehicle to ensure that this simplified funding system would still deliver on the state’s statutorily prescribed priorities and equity commitments.</w:t>
      </w:r>
    </w:p>
    <w:p w14:paraId="4FA3D298" w14:textId="2C0DF8DF" w:rsidR="008F35CE" w:rsidRPr="008F35CE" w:rsidRDefault="008F35CE" w:rsidP="008F35CE">
      <w:r w:rsidRPr="008F35CE">
        <w:t>And that’s important context: LCFF was not simply a change in funding; it was a change in </w:t>
      </w:r>
      <w:r w:rsidRPr="008F35CE">
        <w:rPr>
          <w:b/>
          <w:bCs/>
        </w:rPr>
        <w:t>how the state would pursue equity and accountability.</w:t>
      </w:r>
      <w:r w:rsidRPr="008F35CE">
        <w:t xml:space="preserve"> The state shifted away from a system of many fragmented programs and toward a formula and local planning structure anchored in state priorities, </w:t>
      </w:r>
      <w:r w:rsidR="003C63E7">
        <w:t xml:space="preserve">local flexibility, </w:t>
      </w:r>
      <w:r w:rsidRPr="008F35CE">
        <w:t xml:space="preserve">community engagement, and </w:t>
      </w:r>
      <w:proofErr w:type="gramStart"/>
      <w:r w:rsidRPr="008F35CE">
        <w:t>transparency</w:t>
      </w:r>
      <w:r>
        <w:t xml:space="preserve">, </w:t>
      </w:r>
      <w:r w:rsidRPr="008F35CE">
        <w:t xml:space="preserve"> with</w:t>
      </w:r>
      <w:proofErr w:type="gramEnd"/>
      <w:r w:rsidRPr="008F35CE">
        <w:t xml:space="preserve"> particular attention to how districts use supplemental and concentration grant funds to increase or improve services for students with greater needs.</w:t>
      </w:r>
    </w:p>
    <w:p w14:paraId="6AA9F7EF" w14:textId="16B2C68A" w:rsidR="008F35CE" w:rsidRPr="008F35CE" w:rsidRDefault="008F35CE" w:rsidP="008F35CE">
      <w:r w:rsidRPr="008F35CE">
        <w:rPr>
          <w:b/>
          <w:bCs/>
        </w:rPr>
        <w:t>Second, there is a tension between giving implementation tim</w:t>
      </w:r>
      <w:r>
        <w:rPr>
          <w:b/>
          <w:bCs/>
        </w:rPr>
        <w:t xml:space="preserve">e, exercising </w:t>
      </w:r>
      <w:r w:rsidRPr="008F35CE">
        <w:rPr>
          <w:b/>
          <w:bCs/>
        </w:rPr>
        <w:t>patience and persistenc</w:t>
      </w:r>
      <w:r>
        <w:rPr>
          <w:b/>
          <w:bCs/>
        </w:rPr>
        <w:t>e,</w:t>
      </w:r>
      <w:r w:rsidRPr="008F35CE">
        <w:rPr>
          <w:b/>
          <w:bCs/>
        </w:rPr>
        <w:t> and</w:t>
      </w:r>
      <w:r>
        <w:rPr>
          <w:b/>
          <w:bCs/>
        </w:rPr>
        <w:t xml:space="preserve"> yet exercising humility and recognizing the need to</w:t>
      </w:r>
      <w:r w:rsidRPr="008F35CE">
        <w:rPr>
          <w:b/>
          <w:bCs/>
        </w:rPr>
        <w:t xml:space="preserve"> be nimble and</w:t>
      </w:r>
      <w:r>
        <w:rPr>
          <w:b/>
          <w:bCs/>
        </w:rPr>
        <w:t xml:space="preserve"> r</w:t>
      </w:r>
      <w:r w:rsidRPr="008F35CE">
        <w:rPr>
          <w:b/>
          <w:bCs/>
        </w:rPr>
        <w:t>esponsive when experience, feedback, or new needs require adjustments</w:t>
      </w:r>
      <w:r w:rsidRPr="008F35CE">
        <w:t xml:space="preserve">. We want the system to learn and improve, but we also </w:t>
      </w:r>
      <w:proofErr w:type="gramStart"/>
      <w:r w:rsidRPr="008F35CE">
        <w:t>have to</w:t>
      </w:r>
      <w:proofErr w:type="gramEnd"/>
      <w:r w:rsidRPr="008F35CE">
        <w:t xml:space="preserve"> recognize that constant revisions create churn at the local level and can crowd out the work of improvement.</w:t>
      </w:r>
    </w:p>
    <w:p w14:paraId="15998835" w14:textId="499C4372" w:rsidR="008F35CE" w:rsidRPr="008F35CE" w:rsidRDefault="008F35CE" w:rsidP="008F35CE">
      <w:r w:rsidRPr="008F35CE">
        <w:rPr>
          <w:b/>
          <w:bCs/>
        </w:rPr>
        <w:t>Third, all of this sits inside the larger balance between local control and flexibility on one side, and</w:t>
      </w:r>
      <w:r>
        <w:rPr>
          <w:b/>
          <w:bCs/>
        </w:rPr>
        <w:t xml:space="preserve"> </w:t>
      </w:r>
      <w:r w:rsidRPr="008F35CE">
        <w:rPr>
          <w:b/>
          <w:bCs/>
        </w:rPr>
        <w:t>statewide accountability and transparency on the other.</w:t>
      </w:r>
      <w:r w:rsidRPr="008F35CE">
        <w:t> LCFF and the LCAP shifted much of the “how” of accountability to the local level. That shift was intentional and, in many ways, necessary. But it also means state leaders reasonably ask: </w:t>
      </w:r>
      <w:r w:rsidRPr="008F35CE">
        <w:rPr>
          <w:b/>
          <w:bCs/>
        </w:rPr>
        <w:t>How is this funding being used? Is it being used equitably? And what is working</w:t>
      </w:r>
      <w:r>
        <w:rPr>
          <w:b/>
          <w:bCs/>
        </w:rPr>
        <w:t>,</w:t>
      </w:r>
      <w:r w:rsidRPr="008F35CE">
        <w:rPr>
          <w:b/>
          <w:bCs/>
        </w:rPr>
        <w:t xml:space="preserve"> or not</w:t>
      </w:r>
      <w:r>
        <w:rPr>
          <w:b/>
          <w:bCs/>
        </w:rPr>
        <w:t xml:space="preserve">, </w:t>
      </w:r>
      <w:r w:rsidRPr="008F35CE">
        <w:rPr>
          <w:b/>
          <w:bCs/>
        </w:rPr>
        <w:t>at the local level? </w:t>
      </w:r>
      <w:r w:rsidRPr="008F35CE">
        <w:t xml:space="preserve">The question is how to strike the right balance in reporting </w:t>
      </w:r>
      <w:proofErr w:type="gramStart"/>
      <w:r w:rsidRPr="008F35CE">
        <w:t>requirements</w:t>
      </w:r>
      <w:proofErr w:type="gramEnd"/>
      <w:r w:rsidRPr="008F35CE">
        <w:t xml:space="preserve"> so the state gets meaningful visibility without turning planning into a compliance exercise.</w:t>
      </w:r>
    </w:p>
    <w:p w14:paraId="4BF690F2" w14:textId="7766151A" w:rsidR="008F35CE" w:rsidRPr="008F35CE" w:rsidRDefault="008F35CE" w:rsidP="008F35CE">
      <w:r w:rsidRPr="008F35CE">
        <w:rPr>
          <w:b/>
          <w:bCs/>
        </w:rPr>
        <w:t>The LCAP was designed to make LCFF real</w:t>
      </w:r>
      <w:r w:rsidRPr="008F35CE">
        <w:t>: a vehicle for strategic planning, a focus on the state priorities, community engagement, and transparency about how investments support improved outcomes. For many LEAs, it also represented a cultural shift — aligning instructional planning and budgeting around goals, actions, and measurable progress, rather than treating those as separate lanes.</w:t>
      </w:r>
    </w:p>
    <w:p w14:paraId="645B8998" w14:textId="45BAA9F4" w:rsidR="008F35CE" w:rsidRPr="008F35CE" w:rsidRDefault="008F35CE" w:rsidP="008F35CE">
      <w:r w:rsidRPr="008F35CE">
        <w:t>The state priorities established by the Legislature</w:t>
      </w:r>
      <w:r>
        <w:t xml:space="preserve"> in 2013 continue to</w:t>
      </w:r>
      <w:r w:rsidRPr="008F35CE">
        <w:t xml:space="preserve"> reflect critical concerns: foundational conditions like teachers, materials, and facilities; implementation of standards; family engagement; student achievement and engagement; school climate; access to a broad course of study; and other student outcomes.</w:t>
      </w:r>
      <w:r>
        <w:t xml:space="preserve"> The LCAP includes</w:t>
      </w:r>
      <w:r w:rsidRPr="008F35CE">
        <w:t xml:space="preserve"> </w:t>
      </w:r>
      <w:r>
        <w:t>g</w:t>
      </w:r>
      <w:r w:rsidRPr="008F35CE">
        <w:t>oals for student groups and schools within these priorities</w:t>
      </w:r>
      <w:r>
        <w:t xml:space="preserve">, </w:t>
      </w:r>
      <w:r w:rsidRPr="008F35CE">
        <w:t>measured through a combination of state and local indicators that are based on legislatively defined metrics and reflected in the Dashboard, which was intended to help communities and policymakers see progress and identify where support is needed.</w:t>
      </w:r>
    </w:p>
    <w:p w14:paraId="58181D0D" w14:textId="77558AEF" w:rsidR="008F35CE" w:rsidRPr="008F35CE" w:rsidRDefault="008F35CE" w:rsidP="008F35CE">
      <w:r w:rsidRPr="008F35CE">
        <w:lastRenderedPageBreak/>
        <w:t>The State Board’s role here has been pivotal. The template and instructions were meant to provide a consistent framework across LEAs</w:t>
      </w:r>
      <w:r>
        <w:t xml:space="preserve">, </w:t>
      </w:r>
      <w:r w:rsidRPr="008F35CE">
        <w:t>not to eliminate local control, but to ensure transparency, comparability, and fidelity to legislative intent. The LCAP requirements</w:t>
      </w:r>
      <w:r>
        <w:t xml:space="preserve"> in statute</w:t>
      </w:r>
      <w:r w:rsidRPr="008F35CE">
        <w:t xml:space="preserve"> emphasize the linkage among goals for all students and student groups, specific actions, budgeted expenditures, and the demonstration that supplemental and concentration funds were increasing or improving services for the students generating those funds — alongside a plan summary and meaningful engagement.</w:t>
      </w:r>
    </w:p>
    <w:p w14:paraId="301F5FE7" w14:textId="4AD5C249" w:rsidR="008F35CE" w:rsidRPr="008F35CE" w:rsidRDefault="008F35CE" w:rsidP="008F35CE">
      <w:r w:rsidRPr="008F35CE">
        <w:t>Over time, though, the system has accumulated strain. The LCAP is expected to do a lot, and the pressure to make it a “one-stop shop” has made many plans very long</w:t>
      </w:r>
      <w:r>
        <w:t>,</w:t>
      </w:r>
      <w:r w:rsidRPr="008F35CE">
        <w:t xml:space="preserve"> and, as the State Board hears often, increasingly incompatible with the LCAP’s intended purpose as a strategic planning tool. One large district’s LCAP is nearly 600 pages. When plans reach that scale, they become difficult for parents and community members to use, and districts can end up writing primarily for compliance rather than for strategic planning and continuous improvement.</w:t>
      </w:r>
    </w:p>
    <w:p w14:paraId="58FF1FD9" w14:textId="15E68E1D" w:rsidR="008F35CE" w:rsidRPr="008F35CE" w:rsidRDefault="008F35CE" w:rsidP="008F35CE">
      <w:r w:rsidRPr="008F35CE">
        <w:t>At the same time, the LCAP is not the only planning and reporting document LEAs must manage. Federal requirements and other state initiatives create parallel</w:t>
      </w:r>
      <w:r w:rsidR="005740B8">
        <w:t xml:space="preserve"> and often duplicative</w:t>
      </w:r>
      <w:r w:rsidRPr="008F35CE">
        <w:t xml:space="preserve"> reporting structures. Districts sometimes describe </w:t>
      </w:r>
      <w:r>
        <w:t>what has been called</w:t>
      </w:r>
      <w:r w:rsidRPr="008F35CE">
        <w:t xml:space="preserve"> “plan-demic”</w:t>
      </w:r>
      <w:r>
        <w:t>:</w:t>
      </w:r>
      <w:r w:rsidRPr="008F35CE">
        <w:t xml:space="preserve"> well-intended programs layered on top of each other, each with its own timelines, rules, </w:t>
      </w:r>
      <w:r w:rsidR="005740B8">
        <w:t xml:space="preserve">plans, </w:t>
      </w:r>
      <w:r w:rsidRPr="008F35CE">
        <w:t xml:space="preserve">and reporting and auditing requirements. And as those requirements stack up, districts often </w:t>
      </w:r>
      <w:proofErr w:type="gramStart"/>
      <w:r w:rsidRPr="008F35CE">
        <w:t>have to</w:t>
      </w:r>
      <w:proofErr w:type="gramEnd"/>
      <w:r w:rsidRPr="008F35CE">
        <w:t xml:space="preserve"> hire additional administrative and fiscal staff to track compliance across funding streams, rather than directing scarce resources toward staff and supports that directly serve students.</w:t>
      </w:r>
    </w:p>
    <w:p w14:paraId="120A322F" w14:textId="5349686C" w:rsidR="008F35CE" w:rsidRPr="008F35CE" w:rsidRDefault="008F35CE" w:rsidP="008F35CE">
      <w:r w:rsidRPr="008F35CE">
        <w:t>This brings me to the LCAP’s evolution. In roughly a decade, the template has been revised seven times—often through budget and legislative decisions—to incorporate new requirements, new funding streams, efforts to reduce duplication, and new equity and reporting expectations. We’ve seen additions designed to strengthen equity and improve transparency, such as the LCFF Budget Overview for Parents, increased focus on student-group disparities, and more recent requirements connected to programs like the Equity Multiplier and use of Learning Recovery Block Grant funds pursuant a legal settlement. Many of these changes are reasonable in isolation</w:t>
      </w:r>
      <w:r>
        <w:t xml:space="preserve">, </w:t>
      </w:r>
      <w:r w:rsidRPr="008F35CE">
        <w:t>and well-motivated</w:t>
      </w:r>
      <w:r>
        <w:t xml:space="preserve">, </w:t>
      </w:r>
      <w:r w:rsidRPr="008F35CE">
        <w:t>but the cumulative effect is real: districts need stability to implement well, and constant revisions make it harder to build capacity, engage communities meaningfully, and stay focused on improving student outcomes.</w:t>
      </w:r>
    </w:p>
    <w:p w14:paraId="647647EF" w14:textId="77777777" w:rsidR="001C62A8" w:rsidRDefault="001C62A8" w:rsidP="008F35CE">
      <w:pPr>
        <w:rPr>
          <w:b/>
          <w:bCs/>
        </w:rPr>
      </w:pPr>
    </w:p>
    <w:p w14:paraId="62A35D8E" w14:textId="77777777" w:rsidR="001C62A8" w:rsidRDefault="001C62A8" w:rsidP="008F35CE">
      <w:pPr>
        <w:rPr>
          <w:b/>
          <w:bCs/>
        </w:rPr>
      </w:pPr>
    </w:p>
    <w:p w14:paraId="6166F89F" w14:textId="28B27E48" w:rsidR="008F35CE" w:rsidRPr="008F35CE" w:rsidRDefault="008F35CE" w:rsidP="008F35CE">
      <w:pPr>
        <w:rPr>
          <w:b/>
          <w:bCs/>
        </w:rPr>
      </w:pPr>
      <w:proofErr w:type="gramStart"/>
      <w:r w:rsidRPr="008F35CE">
        <w:rPr>
          <w:b/>
          <w:bCs/>
        </w:rPr>
        <w:lastRenderedPageBreak/>
        <w:t>So</w:t>
      </w:r>
      <w:proofErr w:type="gramEnd"/>
      <w:r w:rsidRPr="008F35CE">
        <w:rPr>
          <w:b/>
          <w:bCs/>
        </w:rPr>
        <w:t xml:space="preserve"> what’s the path forward?</w:t>
      </w:r>
    </w:p>
    <w:p w14:paraId="465CD99B" w14:textId="64F8E60A" w:rsidR="008F35CE" w:rsidRPr="008F35CE" w:rsidRDefault="008F35CE" w:rsidP="008F35CE">
      <w:r>
        <w:t>Recognizing that this is</w:t>
      </w:r>
      <w:r w:rsidRPr="008F35CE">
        <w:t xml:space="preserve"> the focus of the later panels, </w:t>
      </w:r>
      <w:r w:rsidRPr="008F35CE">
        <w:rPr>
          <w:b/>
          <w:bCs/>
        </w:rPr>
        <w:t xml:space="preserve">I offer three </w:t>
      </w:r>
      <w:r>
        <w:rPr>
          <w:b/>
          <w:bCs/>
        </w:rPr>
        <w:t xml:space="preserve">final </w:t>
      </w:r>
      <w:r w:rsidRPr="008F35CE">
        <w:rPr>
          <w:b/>
          <w:bCs/>
        </w:rPr>
        <w:t>observations for consideration:</w:t>
      </w:r>
    </w:p>
    <w:p w14:paraId="36E30DBF" w14:textId="31E43123" w:rsidR="008F35CE" w:rsidRPr="008F35CE" w:rsidRDefault="008F35CE" w:rsidP="008F35CE">
      <w:r w:rsidRPr="008F35CE">
        <w:t> </w:t>
      </w:r>
      <w:r w:rsidRPr="008F35CE">
        <w:rPr>
          <w:b/>
          <w:bCs/>
        </w:rPr>
        <w:t>First, we need clear, limited core reporting that is tightly tied to statewide priorities and equity</w:t>
      </w:r>
      <w:r>
        <w:rPr>
          <w:b/>
          <w:bCs/>
        </w:rPr>
        <w:t xml:space="preserve">, </w:t>
      </w:r>
      <w:r w:rsidRPr="008F35CE">
        <w:rPr>
          <w:b/>
          <w:bCs/>
        </w:rPr>
        <w:t>and that is genuinely usable.</w:t>
      </w:r>
      <w:r w:rsidRPr="008F35CE">
        <w:t xml:space="preserve"> The goal should be to focus on the few measures and narratives that best show whether students are being served and whether disparities </w:t>
      </w:r>
      <w:r>
        <w:t xml:space="preserve">in opportunities and outcomes </w:t>
      </w:r>
      <w:r w:rsidRPr="008F35CE">
        <w:t xml:space="preserve">are being reduced. </w:t>
      </w:r>
      <w:r>
        <w:t xml:space="preserve">And clearly defining the audience is essential. We </w:t>
      </w:r>
      <w:proofErr w:type="gramStart"/>
      <w:r>
        <w:t>have to</w:t>
      </w:r>
      <w:proofErr w:type="gramEnd"/>
      <w:r w:rsidRPr="008F35CE">
        <w:t xml:space="preserve"> design for the user: families and community members should be able to find and understand the most important information without needing to navigate hundreds of pages</w:t>
      </w:r>
      <w:r>
        <w:t xml:space="preserve"> and a CBO on speed dial.</w:t>
      </w:r>
    </w:p>
    <w:p w14:paraId="0DAFC499" w14:textId="6CC3933D" w:rsidR="008F35CE" w:rsidRPr="008F35CE" w:rsidRDefault="008F35CE" w:rsidP="00FD579E">
      <w:r w:rsidRPr="008F35CE">
        <w:rPr>
          <w:b/>
          <w:bCs/>
        </w:rPr>
        <w:t>Second, we need stability over time</w:t>
      </w:r>
      <w:r>
        <w:rPr>
          <w:b/>
          <w:bCs/>
        </w:rPr>
        <w:t>:</w:t>
      </w:r>
      <w:r w:rsidRPr="008F35CE">
        <w:rPr>
          <w:b/>
          <w:bCs/>
        </w:rPr>
        <w:t xml:space="preserve"> fewer major template shifts and more support for implementation.</w:t>
      </w:r>
      <w:r w:rsidRPr="008F35CE">
        <w:t> Where changes are necessary, they should be predictable, well-supported, and aligned with the reality that meaningful improvement takes time. Relatedly, wherever possible, the state should align cycles: planning, accountability, and support should reinforce one another rather than operate on competing timelines. If we want districts to plan in coherent multi-year cycles, the surrounding state processes should respect and strengthen that planning horizon.</w:t>
      </w:r>
    </w:p>
    <w:p w14:paraId="00E04383" w14:textId="37FDAE48" w:rsidR="008F35CE" w:rsidRPr="008F35CE" w:rsidRDefault="008F35CE" w:rsidP="008F35CE">
      <w:r w:rsidRPr="008F35CE">
        <w:rPr>
          <w:b/>
          <w:bCs/>
        </w:rPr>
        <w:t>Third, we need a coherent system of documents and processes, recognizing that no single document can meet every purpose.</w:t>
      </w:r>
      <w:r w:rsidRPr="008F35CE">
        <w:t xml:space="preserve"> The goal should be alignment and usability: parents can understand it, LEAs can use it for </w:t>
      </w:r>
      <w:r w:rsidR="005740B8">
        <w:t xml:space="preserve">goal setting and </w:t>
      </w:r>
      <w:r w:rsidRPr="008F35CE">
        <w:t xml:space="preserve">strategy, and the state gets the transparency it needs—while reducing duplicative reporting across initiatives. That means, in part, investing in more integrated grant and reporting systems, aligning requirements for related programs, and being more deliberate in program design so we stop layering on new obligations without scanning what can be folded in, streamlined, or retired. Put simply: if the LCAP is where many of these pressures land, the solution cannot be “just add more to the LCAP.” The solution </w:t>
      </w:r>
      <w:proofErr w:type="gramStart"/>
      <w:r w:rsidRPr="008F35CE">
        <w:t>has to</w:t>
      </w:r>
      <w:proofErr w:type="gramEnd"/>
      <w:r w:rsidRPr="008F35CE">
        <w:t xml:space="preserve"> include reducing duplication and improving coherence across the broader system.</w:t>
      </w:r>
    </w:p>
    <w:p w14:paraId="368AA64C" w14:textId="5CD7B494" w:rsidR="008F35CE" w:rsidRPr="008F35CE" w:rsidRDefault="008F35CE" w:rsidP="008F35CE">
      <w:r w:rsidRPr="008F35CE">
        <w:t>In short, we can have both local control and strong accountability</w:t>
      </w:r>
      <w:r w:rsidR="00CA0853">
        <w:t xml:space="preserve">, </w:t>
      </w:r>
      <w:r w:rsidRPr="008F35CE">
        <w:t>but only if we intentionally balance simplicity with transparency, flexibility with equity, and stability with responsiveness. And as we will hear from my Board President, Linda Darling-Hammond, and others later this afternoon, that balance is central to how we modernize our education system while staying true to the equity promise at the heart of LCFF. I look forward to the conversation. Thank you.</w:t>
      </w:r>
    </w:p>
    <w:p w14:paraId="001A83D0" w14:textId="77777777" w:rsidR="008F35CE" w:rsidRPr="008F35CE" w:rsidRDefault="008F35CE" w:rsidP="008F35CE">
      <w:r w:rsidRPr="008F35CE">
        <w:t> </w:t>
      </w:r>
    </w:p>
    <w:p w14:paraId="4FE2A6A1" w14:textId="77777777" w:rsidR="00D57F4C" w:rsidRDefault="00D57F4C"/>
    <w:sectPr w:rsidR="00D57F4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6F06" w14:textId="77777777" w:rsidR="0003583E" w:rsidRDefault="0003583E" w:rsidP="004A4C63">
      <w:pPr>
        <w:spacing w:after="0" w:line="240" w:lineRule="auto"/>
      </w:pPr>
      <w:r>
        <w:separator/>
      </w:r>
    </w:p>
  </w:endnote>
  <w:endnote w:type="continuationSeparator" w:id="0">
    <w:p w14:paraId="616EC42F" w14:textId="77777777" w:rsidR="0003583E" w:rsidRDefault="0003583E" w:rsidP="004A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320931"/>
      <w:docPartObj>
        <w:docPartGallery w:val="Page Numbers (Bottom of Page)"/>
        <w:docPartUnique/>
      </w:docPartObj>
    </w:sdtPr>
    <w:sdtEndPr>
      <w:rPr>
        <w:noProof/>
      </w:rPr>
    </w:sdtEndPr>
    <w:sdtContent>
      <w:p w14:paraId="148E0187" w14:textId="132B390B" w:rsidR="004A4C63" w:rsidRDefault="004A4C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5C83B2" w14:textId="77777777" w:rsidR="004A4C63" w:rsidRDefault="004A4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AA1F" w14:textId="77777777" w:rsidR="0003583E" w:rsidRDefault="0003583E" w:rsidP="004A4C63">
      <w:pPr>
        <w:spacing w:after="0" w:line="240" w:lineRule="auto"/>
      </w:pPr>
      <w:r>
        <w:separator/>
      </w:r>
    </w:p>
  </w:footnote>
  <w:footnote w:type="continuationSeparator" w:id="0">
    <w:p w14:paraId="4E2E540F" w14:textId="77777777" w:rsidR="0003583E" w:rsidRDefault="0003583E" w:rsidP="004A4C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CE"/>
    <w:rsid w:val="0003583E"/>
    <w:rsid w:val="001C62A8"/>
    <w:rsid w:val="003C63E7"/>
    <w:rsid w:val="004A4C63"/>
    <w:rsid w:val="004F6495"/>
    <w:rsid w:val="005740B8"/>
    <w:rsid w:val="00580DE7"/>
    <w:rsid w:val="00644A8B"/>
    <w:rsid w:val="007354BD"/>
    <w:rsid w:val="008534EC"/>
    <w:rsid w:val="008F35CE"/>
    <w:rsid w:val="00AC555B"/>
    <w:rsid w:val="00B93630"/>
    <w:rsid w:val="00C06F03"/>
    <w:rsid w:val="00CA0853"/>
    <w:rsid w:val="00D57F4C"/>
    <w:rsid w:val="00FD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28DF"/>
  <w15:chartTrackingRefBased/>
  <w15:docId w15:val="{A789D925-ACD1-4908-9A90-43F64534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5CE"/>
    <w:rPr>
      <w:rFonts w:eastAsiaTheme="majorEastAsia" w:cstheme="majorBidi"/>
      <w:color w:val="272727" w:themeColor="text1" w:themeTint="D8"/>
    </w:rPr>
  </w:style>
  <w:style w:type="paragraph" w:styleId="Title">
    <w:name w:val="Title"/>
    <w:basedOn w:val="Normal"/>
    <w:next w:val="Normal"/>
    <w:link w:val="TitleChar"/>
    <w:uiPriority w:val="10"/>
    <w:qFormat/>
    <w:rsid w:val="008F3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5CE"/>
    <w:pPr>
      <w:spacing w:before="160"/>
      <w:jc w:val="center"/>
    </w:pPr>
    <w:rPr>
      <w:i/>
      <w:iCs/>
      <w:color w:val="404040" w:themeColor="text1" w:themeTint="BF"/>
    </w:rPr>
  </w:style>
  <w:style w:type="character" w:customStyle="1" w:styleId="QuoteChar">
    <w:name w:val="Quote Char"/>
    <w:basedOn w:val="DefaultParagraphFont"/>
    <w:link w:val="Quote"/>
    <w:uiPriority w:val="29"/>
    <w:rsid w:val="008F35CE"/>
    <w:rPr>
      <w:i/>
      <w:iCs/>
      <w:color w:val="404040" w:themeColor="text1" w:themeTint="BF"/>
    </w:rPr>
  </w:style>
  <w:style w:type="paragraph" w:styleId="ListParagraph">
    <w:name w:val="List Paragraph"/>
    <w:basedOn w:val="Normal"/>
    <w:uiPriority w:val="34"/>
    <w:qFormat/>
    <w:rsid w:val="008F35CE"/>
    <w:pPr>
      <w:ind w:left="720"/>
      <w:contextualSpacing/>
    </w:pPr>
  </w:style>
  <w:style w:type="character" w:styleId="IntenseEmphasis">
    <w:name w:val="Intense Emphasis"/>
    <w:basedOn w:val="DefaultParagraphFont"/>
    <w:uiPriority w:val="21"/>
    <w:qFormat/>
    <w:rsid w:val="008F35CE"/>
    <w:rPr>
      <w:i/>
      <w:iCs/>
      <w:color w:val="0F4761" w:themeColor="accent1" w:themeShade="BF"/>
    </w:rPr>
  </w:style>
  <w:style w:type="paragraph" w:styleId="IntenseQuote">
    <w:name w:val="Intense Quote"/>
    <w:basedOn w:val="Normal"/>
    <w:next w:val="Normal"/>
    <w:link w:val="IntenseQuoteChar"/>
    <w:uiPriority w:val="30"/>
    <w:qFormat/>
    <w:rsid w:val="008F3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5CE"/>
    <w:rPr>
      <w:i/>
      <w:iCs/>
      <w:color w:val="0F4761" w:themeColor="accent1" w:themeShade="BF"/>
    </w:rPr>
  </w:style>
  <w:style w:type="character" w:styleId="IntenseReference">
    <w:name w:val="Intense Reference"/>
    <w:basedOn w:val="DefaultParagraphFont"/>
    <w:uiPriority w:val="32"/>
    <w:qFormat/>
    <w:rsid w:val="008F35CE"/>
    <w:rPr>
      <w:b/>
      <w:bCs/>
      <w:smallCaps/>
      <w:color w:val="0F4761" w:themeColor="accent1" w:themeShade="BF"/>
      <w:spacing w:val="5"/>
    </w:rPr>
  </w:style>
  <w:style w:type="paragraph" w:styleId="Revision">
    <w:name w:val="Revision"/>
    <w:hidden/>
    <w:uiPriority w:val="99"/>
    <w:semiHidden/>
    <w:rsid w:val="007354BD"/>
    <w:pPr>
      <w:spacing w:after="0" w:line="240" w:lineRule="auto"/>
    </w:pPr>
  </w:style>
  <w:style w:type="paragraph" w:styleId="Header">
    <w:name w:val="header"/>
    <w:basedOn w:val="Normal"/>
    <w:link w:val="HeaderChar"/>
    <w:uiPriority w:val="99"/>
    <w:unhideWhenUsed/>
    <w:rsid w:val="004A4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C63"/>
  </w:style>
  <w:style w:type="paragraph" w:styleId="Footer">
    <w:name w:val="footer"/>
    <w:basedOn w:val="Normal"/>
    <w:link w:val="FooterChar"/>
    <w:uiPriority w:val="99"/>
    <w:unhideWhenUsed/>
    <w:rsid w:val="004A4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8367</Characters>
  <Application>Microsoft Office Word</Application>
  <DocSecurity>0</DocSecurity>
  <Lines>135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Allen</dc:creator>
  <cp:keywords/>
  <dc:description/>
  <cp:lastModifiedBy>Brooks Allen</cp:lastModifiedBy>
  <cp:revision>2</cp:revision>
  <dcterms:created xsi:type="dcterms:W3CDTF">2026-02-25T17:17:00Z</dcterms:created>
  <dcterms:modified xsi:type="dcterms:W3CDTF">2026-02-25T17:17:00Z</dcterms:modified>
</cp:coreProperties>
</file>